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rFonts w:ascii="Georgia" w:cs="Georgia" w:eastAsia="Georgia" w:hAnsi="Georgia"/>
          <w:b/>
          <w:bCs/>
          <w:color w:val="7C1E3A"/>
          <w:sz w:val="44"/>
          <w:szCs w:val="44"/>
        </w:rPr>
        <w:t xml:space="preserve">Annotated bibliography</w:t>
      </w:r>
    </w:p>
    <w:p>
      <w:pPr>
        <w:spacing w:after="120"/>
      </w:pPr>
      <w:r>
        <w:rPr>
          <w:rFonts w:ascii="Georgia" w:cs="Georgia" w:eastAsia="Georgia" w:hAnsi="Georgia"/>
          <w:i/>
          <w:iCs/>
          <w:color w:val="4E4152"/>
          <w:sz w:val="19"/>
          <w:szCs w:val="19"/>
        </w:rPr>
        <w:t xml:space="preserve">A working record of your critical reading. Fill a row the moment you finish a source, while its argument is still warm. Name: ............................  Pairing: The Bloody Chamber and ............................</w:t>
      </w:r>
    </w:p>
    <w:p>
      <w:pPr>
        <w:pStyle w:val="Heading2"/>
        <w:spacing w:after="60" w:before="280"/>
      </w:pPr>
      <w:r>
        <w:rPr>
          <w:rFonts w:ascii="Georgia" w:cs="Georgia" w:eastAsia="Georgia" w:hAnsi="Georgia"/>
          <w:b/>
          <w:bCs/>
          <w:color w:val="1A1220"/>
          <w:sz w:val="26"/>
          <w:szCs w:val="26"/>
        </w:rPr>
        <w:t xml:space="preserve">The rules of the record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Georgia" w:cs="Georgia" w:eastAsia="Georgia" w:hAnsi="Georgia"/>
          <w:sz w:val="21"/>
          <w:szCs w:val="21"/>
        </w:rPr>
        <w:t xml:space="preserve"> Record every critic and source while you read it, not from memory afterwards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Georgia" w:cs="Georgia" w:eastAsia="Georgia" w:hAnsi="Georgia"/>
          <w:sz w:val="21"/>
          <w:szCs w:val="21"/>
        </w:rPr>
        <w:t xml:space="preserve"> Keep the critic’s words and your words visibly separate, so nothing strays into the essay unattributed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Georgia" w:cs="Georgia" w:eastAsia="Georgia" w:hAnsi="Georgia"/>
          <w:sz w:val="21"/>
          <w:szCs w:val="21"/>
        </w:rPr>
        <w:t xml:space="preserve"> Note exactly where the source lives (book and page, or the address of the page online)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Georgia" w:cs="Georgia" w:eastAsia="Georgia" w:hAnsi="Georgia"/>
          <w:sz w:val="21"/>
          <w:szCs w:val="21"/>
        </w:rPr>
        <w:t xml:space="preserve"> Write the reference in full now; the bibliography then writes itself</w:t>
      </w:r>
    </w:p>
    <w:p>
      <w:pPr>
        <w:pStyle w:val="Heading2"/>
        <w:spacing w:after="60" w:before="280"/>
      </w:pPr>
      <w:r>
        <w:rPr>
          <w:rFonts w:ascii="Georgia" w:cs="Georgia" w:eastAsia="Georgia" w:hAnsi="Georgia"/>
          <w:b/>
          <w:bCs/>
          <w:color w:val="1A1220"/>
          <w:sz w:val="26"/>
          <w:szCs w:val="26"/>
        </w:rPr>
        <w:t xml:space="preserve">Sources read</w:t>
      </w:r>
    </w:p>
    <w:tbl>
      <w:tblPr>
        <w:tblW w:type="dxa" w:w="103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2300"/>
        <w:gridCol w:w="2600"/>
        <w:gridCol w:w="2700"/>
      </w:tblGrid>
      <w:tr>
        <w:trPr>
          <w:tblHeader/>
        </w:trPr>
        <w:tc>
          <w:tcPr>
            <w:tcW w:type="dxa" w:w="2700"/>
            <w:shd w:fill="ECE3D8" w:val="clear"/>
          </w:tcPr>
          <w:p>
            <w:r>
              <w:rPr>
                <w:rFonts w:ascii="Arial" w:cs="Arial" w:eastAsia="Arial" w:hAnsi="Arial"/>
                <w:b/>
                <w:bCs/>
                <w:color w:val="1A1220"/>
                <w:sz w:val="17"/>
                <w:szCs w:val="17"/>
              </w:rPr>
              <w:t xml:space="preserve">Source: author, title, year, where found</w:t>
            </w:r>
          </w:p>
        </w:tc>
        <w:tc>
          <w:tcPr>
            <w:tcW w:type="dxa" w:w="2300"/>
            <w:shd w:fill="ECE3D8" w:val="clear"/>
          </w:tcPr>
          <w:p>
            <w:r>
              <w:rPr>
                <w:rFonts w:ascii="Arial" w:cs="Arial" w:eastAsia="Arial" w:hAnsi="Arial"/>
                <w:b/>
                <w:bCs/>
                <w:color w:val="1A1220"/>
                <w:sz w:val="17"/>
                <w:szCs w:val="17"/>
              </w:rPr>
              <w:t xml:space="preserve">Its argument, in one sentence</w:t>
            </w:r>
          </w:p>
        </w:tc>
        <w:tc>
          <w:tcPr>
            <w:tcW w:type="dxa" w:w="2600"/>
            <w:shd w:fill="ECE3D8" w:val="clear"/>
          </w:tcPr>
          <w:p>
            <w:r>
              <w:rPr>
                <w:rFonts w:ascii="Arial" w:cs="Arial" w:eastAsia="Arial" w:hAnsi="Arial"/>
                <w:b/>
                <w:bCs/>
                <w:color w:val="1A1220"/>
                <w:sz w:val="17"/>
                <w:szCs w:val="17"/>
              </w:rPr>
              <w:t xml:space="preserve">A line worth quoting (short, with page)</w:t>
            </w:r>
          </w:p>
        </w:tc>
        <w:tc>
          <w:tcPr>
            <w:tcW w:type="dxa" w:w="2700"/>
            <w:shd w:fill="ECE3D8" w:val="clear"/>
          </w:tcPr>
          <w:p>
            <w:r>
              <w:rPr>
                <w:rFonts w:ascii="Arial" w:cs="Arial" w:eastAsia="Arial" w:hAnsi="Arial"/>
                <w:b/>
                <w:bCs/>
                <w:color w:val="1A1220"/>
                <w:sz w:val="17"/>
                <w:szCs w:val="17"/>
              </w:rPr>
              <w:t xml:space="preserve">How I will use it: agree, extend or challenge</w:t>
            </w:r>
          </w:p>
        </w:tc>
      </w:tr>
      <w:tr>
        <w:trPr>
          <w:trHeight w:val="1300" w:hRule="atLeast"/>
        </w:trPr>
        <w:tc>
          <w:tcPr>
            <w:tcW w:type="dxa" w:w="2700"/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300"/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600"/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700"/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rPr>
          <w:trHeight w:val="1300" w:hRule="atLeast"/>
        </w:trPr>
        <w:tc>
          <w:tcPr>
            <w:tcW w:type="dxa" w:w="2700"/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300"/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600"/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700"/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rPr>
          <w:trHeight w:val="1300" w:hRule="atLeast"/>
        </w:trPr>
        <w:tc>
          <w:tcPr>
            <w:tcW w:type="dxa" w:w="2700"/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300"/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600"/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700"/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rPr>
          <w:trHeight w:val="1300" w:hRule="atLeast"/>
        </w:trPr>
        <w:tc>
          <w:tcPr>
            <w:tcW w:type="dxa" w:w="2700"/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300"/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600"/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700"/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rPr>
          <w:trHeight w:val="1300" w:hRule="atLeast"/>
        </w:trPr>
        <w:tc>
          <w:tcPr>
            <w:tcW w:type="dxa" w:w="2700"/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300"/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600"/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700"/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rPr>
          <w:trHeight w:val="1300" w:hRule="atLeast"/>
        </w:trPr>
        <w:tc>
          <w:tcPr>
            <w:tcW w:type="dxa" w:w="2700"/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300"/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600"/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700"/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</w:tbl>
    <w:p>
      <w:pPr>
        <w:spacing w:after="120"/>
      </w:pPr>
      <w:r>
        <w:rPr>
          <w:rFonts w:ascii="Georgia" w:cs="Georgia" w:eastAsia="Georgia" w:hAnsi="Georgia"/>
          <w:i/>
          <w:iCs/>
          <w:color w:val="4E4152"/>
          <w:sz w:val="19"/>
          <w:szCs w:val="19"/>
        </w:rPr>
        <w:t xml:space="preserve">AO5 rewards a critic tested, not a critic pasted in. The last column is where a source becomes part of your argument.</w:t>
      </w:r>
    </w:p>
    <w:p>
      <w:pPr>
        <w:spacing w:before="300"/>
      </w:pPr>
      <w:r>
        <w:rPr>
          <w:rFonts w:ascii="Arial" w:cs="Arial" w:eastAsia="Arial" w:hAnsi="Arial"/>
          <w:color w:val="4E4152"/>
          <w:sz w:val="15"/>
          <w:szCs w:val="15"/>
        </w:rPr>
        <w:t xml:space="preserve">The Bloody Chamber · Eduqas A Level Literature NEA · bloodychamber.extendedenglish.com</w:t>
      </w:r>
    </w:p>
    <w:sectPr>
      <w:pgSz w:w="11906" w:h="16838" w:orient="portrait"/>
      <w:pgMar w:top="850" w:right="850" w:bottom="85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2026-07-17T06:56:45.290Z</dcterms:created>
  <dcterms:modified xsi:type="dcterms:W3CDTF">2026-07-17T06:56:45.290Z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